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F5" w:rsidRDefault="00FF355C">
      <w:r w:rsidRPr="00FF355C">
        <w:drawing>
          <wp:inline distT="0" distB="0" distL="0" distR="0">
            <wp:extent cx="4953000" cy="3305175"/>
            <wp:effectExtent l="19050" t="0" r="1905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910F5" w:rsidSect="00505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F355C"/>
    <w:rsid w:val="00282304"/>
    <w:rsid w:val="0050597C"/>
    <w:rsid w:val="00A64237"/>
    <w:rsid w:val="00FF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cott\AppData\Local\Microsoft\Windows\Temporary%20Internet%20Files\OLK4C9C\Sinkhole%20Inventory%20Charts%20by%20Plaintiff%20Attorne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9798905733798236"/>
          <c:y val="0.3111976492068928"/>
          <c:w val="0.40943924298019929"/>
          <c:h val="0.67090180303549363"/>
        </c:manualLayout>
      </c:layout>
      <c:pieChart>
        <c:varyColors val="1"/>
        <c:ser>
          <c:idx val="0"/>
          <c:order val="0"/>
          <c:tx>
            <c:strRef>
              <c:f>'Pending 9.30.2012'!$C$2</c:f>
              <c:strCache>
                <c:ptCount val="1"/>
                <c:pt idx="0">
                  <c:v>Percent</c:v>
                </c:pt>
              </c:strCache>
            </c:strRef>
          </c:tx>
          <c:explosion val="1"/>
          <c:dLbls>
            <c:dLbl>
              <c:idx val="1"/>
              <c:layout>
                <c:manualLayout>
                  <c:x val="0"/>
                  <c:y val="-9.2662330252196766E-4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12778365390893"/>
                  <c:y val="1.9734394613716812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8.4437828356033071E-2"/>
                  <c:y val="-1.1720015976263841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6.3749493999817192E-2"/>
                  <c:y val="-3.7479459089353052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7.8622983072389588E-2"/>
                  <c:y val="-8.5880976834417463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4.4367488889759533E-2"/>
                  <c:y val="-4.4604587470044497E-2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0.19890695255132981"/>
                  <c:y val="-3.8212940773707654E-2"/>
                </c:manualLayout>
              </c:layout>
              <c:showCatName val="1"/>
              <c:showPercent val="1"/>
            </c:dLbl>
            <c:dLbl>
              <c:idx val="8"/>
              <c:layout>
                <c:manualLayout>
                  <c:x val="0.1035102701714527"/>
                  <c:y val="3.7054661645555181E-2"/>
                </c:manualLayout>
              </c:layout>
              <c:showCatName val="1"/>
              <c:showPercent val="1"/>
            </c:dLbl>
            <c:dLbl>
              <c:idx val="9"/>
              <c:layout>
                <c:manualLayout>
                  <c:x val="7.9218779244634399E-2"/>
                  <c:y val="0.10467048955837042"/>
                </c:manualLayout>
              </c:layout>
              <c:showCatName val="1"/>
              <c:showPercent val="1"/>
            </c:dLbl>
            <c:dLbl>
              <c:idx val="10"/>
              <c:layout>
                <c:manualLayout>
                  <c:x val="7.4830745659280162E-2"/>
                  <c:y val="0.23355500399406595"/>
                </c:manualLayout>
              </c:layout>
              <c:showCatName val="1"/>
              <c:showPercent val="1"/>
            </c:dLbl>
            <c:dLbl>
              <c:idx val="11"/>
              <c:layout>
                <c:manualLayout>
                  <c:x val="-0.1524930030512362"/>
                  <c:y val="-0.18586471528015519"/>
                </c:manualLayout>
              </c:layout>
              <c:showCatName val="1"/>
              <c:showPercent val="1"/>
            </c:dLbl>
            <c:numFmt formatCode="0.00%" sourceLinked="0"/>
            <c:txPr>
              <a:bodyPr/>
              <a:lstStyle/>
              <a:p>
                <a:pPr>
                  <a:defRPr sz="800" b="1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'Pending 9.30.2012'!$B$3:$B$15</c:f>
              <c:strCache>
                <c:ptCount val="13"/>
                <c:pt idx="0">
                  <c:v>Marshall Thomas Burnett</c:v>
                </c:pt>
                <c:pt idx="1">
                  <c:v>Law Offices of Joseph A. Porcelli, PA</c:v>
                </c:pt>
                <c:pt idx="2">
                  <c:v>Boyette, Cummins &amp; Nailos, PLLC </c:v>
                </c:pt>
                <c:pt idx="3">
                  <c:v>Thompson Trial Group, PA</c:v>
                </c:pt>
                <c:pt idx="4">
                  <c:v>Willliams Law Assoc P.A.</c:v>
                </c:pt>
                <c:pt idx="5">
                  <c:v>Austin &amp; Laurato, PA</c:v>
                </c:pt>
                <c:pt idx="6">
                  <c:v>Danahy &amp; Murray, PA </c:v>
                </c:pt>
                <c:pt idx="7">
                  <c:v>Sinkhole Investigational Legal </c:v>
                </c:pt>
                <c:pt idx="8">
                  <c:v>Law Office of Amy Boggs, P.A. </c:v>
                </c:pt>
                <c:pt idx="9">
                  <c:v>Michael A Nuzzo, Esq</c:v>
                </c:pt>
                <c:pt idx="10">
                  <c:v>Merlin Law Group</c:v>
                </c:pt>
                <c:pt idx="11">
                  <c:v>Haahr Law Group, PL</c:v>
                </c:pt>
                <c:pt idx="12">
                  <c:v>All Other (over 80 firms)</c:v>
                </c:pt>
              </c:strCache>
            </c:strRef>
          </c:cat>
          <c:val>
            <c:numRef>
              <c:f>'Pending 9.30.2012'!$C$3:$C$15</c:f>
              <c:numCache>
                <c:formatCode>0.00%</c:formatCode>
                <c:ptCount val="13"/>
                <c:pt idx="0">
                  <c:v>0.27774086378737578</c:v>
                </c:pt>
                <c:pt idx="1">
                  <c:v>0.10232558139534884</c:v>
                </c:pt>
                <c:pt idx="2">
                  <c:v>7.1760797342192803E-2</c:v>
                </c:pt>
                <c:pt idx="3">
                  <c:v>7.1096345514950171E-2</c:v>
                </c:pt>
                <c:pt idx="4">
                  <c:v>6.2458471760797364E-2</c:v>
                </c:pt>
                <c:pt idx="5">
                  <c:v>4.3189368770763951E-2</c:v>
                </c:pt>
                <c:pt idx="6">
                  <c:v>3.4551495016611297E-2</c:v>
                </c:pt>
                <c:pt idx="7">
                  <c:v>2.458471760797348E-2</c:v>
                </c:pt>
                <c:pt idx="8">
                  <c:v>2.458471760797348E-2</c:v>
                </c:pt>
                <c:pt idx="9">
                  <c:v>2.3920265780730893E-2</c:v>
                </c:pt>
                <c:pt idx="10">
                  <c:v>2.3900000000000001E-2</c:v>
                </c:pt>
                <c:pt idx="11">
                  <c:v>1.6611295681063148E-2</c:v>
                </c:pt>
                <c:pt idx="12">
                  <c:v>0.24717607973421918</c:v>
                </c:pt>
              </c:numCache>
            </c:numRef>
          </c:val>
        </c:ser>
        <c:dLbls>
          <c:showCatName val="1"/>
          <c:showPercent val="1"/>
        </c:dLbls>
        <c:firstSliceAng val="181"/>
      </c:pieChart>
    </c:plotArea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2012-11-28T02:41:00Z</dcterms:created>
  <dcterms:modified xsi:type="dcterms:W3CDTF">2012-11-28T02:42:00Z</dcterms:modified>
</cp:coreProperties>
</file>