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CD" w:rsidRPr="001A75CD" w:rsidRDefault="001A75CD" w:rsidP="001A75C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75CD">
        <w:rPr>
          <w:rFonts w:ascii="Times New Roman" w:eastAsia="Times New Roman" w:hAnsi="Times New Roman" w:cs="Times New Roman"/>
          <w:b/>
          <w:bCs/>
          <w:kern w:val="36"/>
          <w:sz w:val="48"/>
          <w:szCs w:val="48"/>
        </w:rPr>
        <w:t>Heartland Institute Responds to Misleading Study on Property and Casualty Insurance Rates</w:t>
      </w:r>
    </w:p>
    <w:p w:rsidR="001A75CD" w:rsidRPr="001A75CD" w:rsidRDefault="001A75CD" w:rsidP="001A75CD">
      <w:pPr>
        <w:spacing w:after="0" w:line="240" w:lineRule="auto"/>
        <w:rPr>
          <w:rFonts w:ascii="Times New Roman" w:eastAsia="Times New Roman" w:hAnsi="Times New Roman" w:cs="Times New Roman"/>
          <w:sz w:val="24"/>
          <w:szCs w:val="24"/>
        </w:rPr>
      </w:pPr>
      <w:r w:rsidRPr="001A75CD">
        <w:rPr>
          <w:rFonts w:ascii="Times New Roman" w:eastAsia="Times New Roman" w:hAnsi="Times New Roman" w:cs="Times New Roman"/>
          <w:sz w:val="24"/>
          <w:szCs w:val="24"/>
        </w:rPr>
        <w:t xml:space="preserve">February 17, 2012 </w:t>
      </w:r>
    </w:p>
    <w:p w:rsidR="001A75CD" w:rsidRPr="001A75CD" w:rsidRDefault="001A75CD" w:rsidP="001A75CD">
      <w:pPr>
        <w:spacing w:after="0" w:line="240" w:lineRule="auto"/>
        <w:rPr>
          <w:rFonts w:ascii="Times New Roman" w:eastAsia="Times New Roman" w:hAnsi="Times New Roman" w:cs="Times New Roman"/>
          <w:sz w:val="24"/>
          <w:szCs w:val="24"/>
        </w:rPr>
      </w:pPr>
      <w:hyperlink r:id="rId4" w:history="1">
        <w:r w:rsidRPr="001A75CD">
          <w:rPr>
            <w:rFonts w:ascii="Times New Roman" w:eastAsia="Times New Roman" w:hAnsi="Times New Roman" w:cs="Times New Roman"/>
            <w:color w:val="0000FF"/>
            <w:sz w:val="24"/>
            <w:szCs w:val="24"/>
            <w:u w:val="single"/>
          </w:rPr>
          <w:t>Eli Lehrer</w:t>
        </w:r>
      </w:hyperlink>
      <w:r w:rsidRPr="001A75CD">
        <w:rPr>
          <w:rFonts w:ascii="Times New Roman" w:eastAsia="Times New Roman" w:hAnsi="Times New Roman" w:cs="Times New Roman"/>
          <w:sz w:val="24"/>
          <w:szCs w:val="24"/>
        </w:rPr>
        <w:t xml:space="preserve"> </w:t>
      </w:r>
    </w:p>
    <w:p w:rsidR="001A75CD" w:rsidRPr="001A75CD" w:rsidRDefault="001A75CD" w:rsidP="001A75CD">
      <w:pPr>
        <w:spacing w:after="0" w:line="240" w:lineRule="auto"/>
        <w:rPr>
          <w:rFonts w:ascii="Times New Roman" w:eastAsia="Times New Roman" w:hAnsi="Times New Roman" w:cs="Times New Roman"/>
          <w:sz w:val="24"/>
          <w:szCs w:val="24"/>
        </w:rPr>
      </w:pPr>
      <w:hyperlink r:id="rId5" w:history="1">
        <w:r w:rsidRPr="001A75CD">
          <w:rPr>
            <w:rFonts w:ascii="Times New Roman" w:eastAsia="Times New Roman" w:hAnsi="Times New Roman" w:cs="Times New Roman"/>
            <w:color w:val="0000FF"/>
            <w:sz w:val="24"/>
            <w:szCs w:val="24"/>
            <w:u w:val="single"/>
          </w:rPr>
          <w:t>R.J. Lehmann</w:t>
        </w:r>
      </w:hyperlink>
      <w:r w:rsidRPr="001A75CD">
        <w:rPr>
          <w:rFonts w:ascii="Times New Roman" w:eastAsia="Times New Roman" w:hAnsi="Times New Roman" w:cs="Times New Roman"/>
          <w:sz w:val="24"/>
          <w:szCs w:val="24"/>
        </w:rPr>
        <w:t xml:space="preserve"> </w:t>
      </w:r>
    </w:p>
    <w:p w:rsidR="001A75CD" w:rsidRPr="001A75CD" w:rsidRDefault="001A75CD" w:rsidP="001A75CD">
      <w:pPr>
        <w:spacing w:before="100" w:beforeAutospacing="1" w:after="100" w:afterAutospacing="1" w:line="240" w:lineRule="auto"/>
        <w:rPr>
          <w:rFonts w:ascii="Times New Roman" w:eastAsia="Times New Roman" w:hAnsi="Times New Roman" w:cs="Times New Roman"/>
          <w:sz w:val="24"/>
          <w:szCs w:val="24"/>
        </w:rPr>
      </w:pPr>
      <w:r w:rsidRPr="001A75CD">
        <w:rPr>
          <w:rFonts w:ascii="Times New Roman" w:eastAsia="Times New Roman" w:hAnsi="Times New Roman" w:cs="Times New Roman"/>
          <w:sz w:val="24"/>
          <w:szCs w:val="24"/>
        </w:rPr>
        <w:t>WASHINGTON, DC – A new study from the Consumer Federation of America claiming that recent homeowners’ insurance rate increases are unjustified relies on apples-to-oranges comparisons of homeowners insurers to the broader property and casualty industry.</w:t>
      </w:r>
    </w:p>
    <w:p w:rsidR="001A75CD" w:rsidRPr="001A75CD" w:rsidRDefault="001A75CD" w:rsidP="001A75CD">
      <w:pPr>
        <w:spacing w:before="100" w:beforeAutospacing="1" w:after="100" w:afterAutospacing="1" w:line="240" w:lineRule="auto"/>
        <w:rPr>
          <w:rFonts w:ascii="Times New Roman" w:eastAsia="Times New Roman" w:hAnsi="Times New Roman" w:cs="Times New Roman"/>
          <w:sz w:val="24"/>
          <w:szCs w:val="24"/>
        </w:rPr>
      </w:pPr>
      <w:r w:rsidRPr="001A75CD">
        <w:rPr>
          <w:rFonts w:ascii="Times New Roman" w:eastAsia="Times New Roman" w:hAnsi="Times New Roman" w:cs="Times New Roman"/>
          <w:sz w:val="24"/>
          <w:szCs w:val="24"/>
        </w:rPr>
        <w:t xml:space="preserve">Authored by the CFA’s insurance director, J. Robert Hunter, </w:t>
      </w:r>
      <w:hyperlink r:id="rId6" w:history="1">
        <w:r w:rsidRPr="001A75CD">
          <w:rPr>
            <w:rFonts w:ascii="Times New Roman" w:eastAsia="Times New Roman" w:hAnsi="Times New Roman" w:cs="Times New Roman"/>
            <w:color w:val="0000FF"/>
            <w:sz w:val="24"/>
            <w:szCs w:val="24"/>
            <w:u w:val="single"/>
          </w:rPr>
          <w:t>the study</w:t>
        </w:r>
      </w:hyperlink>
      <w:r w:rsidRPr="001A75CD">
        <w:rPr>
          <w:rFonts w:ascii="Times New Roman" w:eastAsia="Times New Roman" w:hAnsi="Times New Roman" w:cs="Times New Roman"/>
          <w:sz w:val="24"/>
          <w:szCs w:val="24"/>
        </w:rPr>
        <w:t xml:space="preserve"> correctly diagnoses a problem of catastrophe risk being shifted from the private sector onto state and federal programs and residual market entities. But it prescribes precisely the wrong medicine to address that problem. The growth of taxpayer-backed insurance entities is a direct result of rate suppression. Suppressing rates even further would make matters worse, not better.</w:t>
      </w:r>
    </w:p>
    <w:p w:rsidR="001A75CD" w:rsidRPr="001A75CD" w:rsidRDefault="001A75CD" w:rsidP="001A75CD">
      <w:pPr>
        <w:spacing w:before="100" w:beforeAutospacing="1" w:after="100" w:afterAutospacing="1" w:line="240" w:lineRule="auto"/>
        <w:rPr>
          <w:rFonts w:ascii="Times New Roman" w:eastAsia="Times New Roman" w:hAnsi="Times New Roman" w:cs="Times New Roman"/>
          <w:sz w:val="24"/>
          <w:szCs w:val="24"/>
        </w:rPr>
      </w:pPr>
      <w:r w:rsidRPr="001A75CD">
        <w:rPr>
          <w:rFonts w:ascii="Times New Roman" w:eastAsia="Times New Roman" w:hAnsi="Times New Roman" w:cs="Times New Roman"/>
          <w:sz w:val="24"/>
          <w:szCs w:val="24"/>
        </w:rPr>
        <w:t xml:space="preserve">The following statements from insurance experts at The Heartland Institute – a free-market think tank – may be used for attribution. For more comments, refer to the contact information below. To book a Heartland guest on your program, please contact Tammy Nash at </w:t>
      </w:r>
      <w:hyperlink r:id="rId7" w:history="1">
        <w:r w:rsidRPr="001A75CD">
          <w:rPr>
            <w:rFonts w:ascii="Times New Roman" w:eastAsia="Times New Roman" w:hAnsi="Times New Roman" w:cs="Times New Roman"/>
            <w:color w:val="0000FF"/>
            <w:sz w:val="24"/>
            <w:szCs w:val="24"/>
            <w:u w:val="single"/>
          </w:rPr>
          <w:t>tnash@heartland.org</w:t>
        </w:r>
      </w:hyperlink>
      <w:r w:rsidRPr="001A75CD">
        <w:rPr>
          <w:rFonts w:ascii="Times New Roman" w:eastAsia="Times New Roman" w:hAnsi="Times New Roman" w:cs="Times New Roman"/>
          <w:sz w:val="24"/>
          <w:szCs w:val="24"/>
        </w:rPr>
        <w:t xml:space="preserve"> and 312/377-4000. After regular business hours, contact Jim Lakely at </w:t>
      </w:r>
      <w:hyperlink r:id="rId8" w:history="1">
        <w:r w:rsidRPr="001A75CD">
          <w:rPr>
            <w:rFonts w:ascii="Times New Roman" w:eastAsia="Times New Roman" w:hAnsi="Times New Roman" w:cs="Times New Roman"/>
            <w:color w:val="0000FF"/>
            <w:sz w:val="24"/>
            <w:szCs w:val="24"/>
            <w:u w:val="single"/>
          </w:rPr>
          <w:t>jlakely@heartland.org</w:t>
        </w:r>
      </w:hyperlink>
      <w:r w:rsidRPr="001A75CD">
        <w:rPr>
          <w:rFonts w:ascii="Times New Roman" w:eastAsia="Times New Roman" w:hAnsi="Times New Roman" w:cs="Times New Roman"/>
          <w:sz w:val="24"/>
          <w:szCs w:val="24"/>
        </w:rPr>
        <w:t xml:space="preserve"> and 312/731-9364.</w:t>
      </w:r>
    </w:p>
    <w:p w:rsidR="001A75CD" w:rsidRPr="001A75CD" w:rsidRDefault="001A75CD" w:rsidP="001A75CD">
      <w:pPr>
        <w:spacing w:after="0" w:line="240" w:lineRule="auto"/>
        <w:rPr>
          <w:rFonts w:ascii="Times New Roman" w:eastAsia="Times New Roman" w:hAnsi="Times New Roman" w:cs="Times New Roman"/>
          <w:sz w:val="24"/>
          <w:szCs w:val="24"/>
        </w:rPr>
      </w:pPr>
      <w:r w:rsidRPr="001A75CD">
        <w:rPr>
          <w:rFonts w:ascii="Times New Roman" w:eastAsia="Times New Roman" w:hAnsi="Times New Roman" w:cs="Times New Roman"/>
          <w:sz w:val="24"/>
          <w:szCs w:val="24"/>
        </w:rPr>
        <w:pict>
          <v:rect id="_x0000_i1025" style="width:0;height:1.5pt" o:hralign="center" o:hrstd="t" o:hr="t" fillcolor="#a0a0a0" stroked="f"/>
        </w:pict>
      </w:r>
    </w:p>
    <w:p w:rsidR="001A75CD" w:rsidRPr="001A75CD" w:rsidRDefault="001A75CD" w:rsidP="001A75CD">
      <w:pPr>
        <w:spacing w:before="100" w:beforeAutospacing="1" w:after="100" w:afterAutospacing="1" w:line="240" w:lineRule="auto"/>
        <w:rPr>
          <w:rFonts w:ascii="Times New Roman" w:eastAsia="Times New Roman" w:hAnsi="Times New Roman" w:cs="Times New Roman"/>
          <w:sz w:val="24"/>
          <w:szCs w:val="24"/>
        </w:rPr>
      </w:pPr>
      <w:r w:rsidRPr="001A75CD">
        <w:rPr>
          <w:rFonts w:ascii="Times New Roman" w:eastAsia="Times New Roman" w:hAnsi="Times New Roman" w:cs="Times New Roman"/>
          <w:sz w:val="24"/>
          <w:szCs w:val="24"/>
        </w:rPr>
        <w:t>“CFA’s overall conclusions and recommendations are wrong – dead wrong – in just about every case. Their report is based on faulty assumptions, excluded data, and bad math. There are some grains of truth in CFA’s findings, particularly when it comes to some insurers’ efforts to shift risk to taxpayers, but the overall findings are a very poor basis for formulating public policy.”</w:t>
      </w:r>
    </w:p>
    <w:p w:rsidR="001A75CD" w:rsidRPr="001A75CD" w:rsidRDefault="001A75CD" w:rsidP="001A75CD">
      <w:pPr>
        <w:spacing w:before="100" w:beforeAutospacing="1" w:after="100" w:afterAutospacing="1" w:line="240" w:lineRule="auto"/>
        <w:rPr>
          <w:rFonts w:ascii="Times New Roman" w:eastAsia="Times New Roman" w:hAnsi="Times New Roman" w:cs="Times New Roman"/>
          <w:sz w:val="24"/>
          <w:szCs w:val="24"/>
        </w:rPr>
      </w:pPr>
      <w:hyperlink r:id="rId9" w:history="1">
        <w:r w:rsidRPr="001A75CD">
          <w:rPr>
            <w:rFonts w:ascii="Times New Roman" w:eastAsia="Times New Roman" w:hAnsi="Times New Roman" w:cs="Times New Roman"/>
            <w:b/>
            <w:bCs/>
            <w:color w:val="0000FF"/>
            <w:sz w:val="24"/>
            <w:szCs w:val="24"/>
            <w:u w:val="single"/>
          </w:rPr>
          <w:t>Eli Lehrer</w:t>
        </w:r>
      </w:hyperlink>
      <w:r w:rsidRPr="001A75CD">
        <w:rPr>
          <w:rFonts w:ascii="Times New Roman" w:eastAsia="Times New Roman" w:hAnsi="Times New Roman" w:cs="Times New Roman"/>
          <w:sz w:val="24"/>
          <w:szCs w:val="24"/>
        </w:rPr>
        <w:br/>
        <w:t xml:space="preserve">Director, Center on Finance, Insurance, and Real Estate </w:t>
      </w:r>
      <w:r w:rsidRPr="001A75CD">
        <w:rPr>
          <w:rFonts w:ascii="Times New Roman" w:eastAsia="Times New Roman" w:hAnsi="Times New Roman" w:cs="Times New Roman"/>
          <w:sz w:val="24"/>
          <w:szCs w:val="24"/>
        </w:rPr>
        <w:br/>
        <w:t xml:space="preserve">Vice President, DC Operations </w:t>
      </w:r>
      <w:r w:rsidRPr="001A75CD">
        <w:rPr>
          <w:rFonts w:ascii="Times New Roman" w:eastAsia="Times New Roman" w:hAnsi="Times New Roman" w:cs="Times New Roman"/>
          <w:sz w:val="24"/>
          <w:szCs w:val="24"/>
        </w:rPr>
        <w:br/>
        <w:t xml:space="preserve">The Heartland Institute </w:t>
      </w:r>
      <w:r w:rsidRPr="001A75CD">
        <w:rPr>
          <w:rFonts w:ascii="Times New Roman" w:eastAsia="Times New Roman" w:hAnsi="Times New Roman" w:cs="Times New Roman"/>
          <w:sz w:val="24"/>
          <w:szCs w:val="24"/>
        </w:rPr>
        <w:br/>
      </w:r>
      <w:hyperlink r:id="rId10" w:history="1">
        <w:r w:rsidRPr="001A75CD">
          <w:rPr>
            <w:rFonts w:ascii="Times New Roman" w:eastAsia="Times New Roman" w:hAnsi="Times New Roman" w:cs="Times New Roman"/>
            <w:color w:val="0000FF"/>
            <w:sz w:val="24"/>
            <w:szCs w:val="24"/>
            <w:u w:val="single"/>
          </w:rPr>
          <w:t>elehrer@heartland.org</w:t>
        </w:r>
      </w:hyperlink>
      <w:r w:rsidRPr="001A75CD">
        <w:rPr>
          <w:rFonts w:ascii="Times New Roman" w:eastAsia="Times New Roman" w:hAnsi="Times New Roman" w:cs="Times New Roman"/>
          <w:sz w:val="24"/>
          <w:szCs w:val="24"/>
        </w:rPr>
        <w:br/>
        <w:t>202/615-0586</w:t>
      </w:r>
    </w:p>
    <w:p w:rsidR="001A75CD" w:rsidRPr="001A75CD" w:rsidRDefault="001A75CD" w:rsidP="001A75CD">
      <w:pPr>
        <w:spacing w:after="0" w:line="240" w:lineRule="auto"/>
        <w:rPr>
          <w:rFonts w:ascii="Times New Roman" w:eastAsia="Times New Roman" w:hAnsi="Times New Roman" w:cs="Times New Roman"/>
          <w:sz w:val="24"/>
          <w:szCs w:val="24"/>
        </w:rPr>
      </w:pPr>
      <w:r w:rsidRPr="001A75CD">
        <w:rPr>
          <w:rFonts w:ascii="Times New Roman" w:eastAsia="Times New Roman" w:hAnsi="Times New Roman" w:cs="Times New Roman"/>
          <w:sz w:val="24"/>
          <w:szCs w:val="24"/>
        </w:rPr>
        <w:pict>
          <v:rect id="_x0000_i1026" style="width:0;height:1.5pt" o:hralign="center" o:hrstd="t" o:hr="t" fillcolor="#a0a0a0" stroked="f"/>
        </w:pict>
      </w:r>
    </w:p>
    <w:p w:rsidR="001A75CD" w:rsidRPr="001A75CD" w:rsidRDefault="001A75CD" w:rsidP="001A75CD">
      <w:pPr>
        <w:spacing w:before="100" w:beforeAutospacing="1" w:after="100" w:afterAutospacing="1" w:line="240" w:lineRule="auto"/>
        <w:rPr>
          <w:rFonts w:ascii="Times New Roman" w:eastAsia="Times New Roman" w:hAnsi="Times New Roman" w:cs="Times New Roman"/>
          <w:sz w:val="24"/>
          <w:szCs w:val="24"/>
        </w:rPr>
      </w:pPr>
      <w:r w:rsidRPr="001A75CD">
        <w:rPr>
          <w:rFonts w:ascii="Times New Roman" w:eastAsia="Times New Roman" w:hAnsi="Times New Roman" w:cs="Times New Roman"/>
          <w:sz w:val="24"/>
          <w:szCs w:val="24"/>
        </w:rPr>
        <w:t xml:space="preserve">“No one would deny that the property and casualty industry as a whole has been overcapitalized in recent years, although contrary to the CFA’s claims, few in the industry would regard this as desirable. Amid a years-long soft market of flat or declining rates in most lines of business, </w:t>
      </w:r>
      <w:r w:rsidRPr="001A75CD">
        <w:rPr>
          <w:rFonts w:ascii="Times New Roman" w:eastAsia="Times New Roman" w:hAnsi="Times New Roman" w:cs="Times New Roman"/>
          <w:sz w:val="24"/>
          <w:szCs w:val="24"/>
        </w:rPr>
        <w:lastRenderedPageBreak/>
        <w:t>combined with record-low interest rates that have provided virtually no attractive investment opportunities, it has been harder than ever for insurers to earn attractive rates of return.</w:t>
      </w:r>
    </w:p>
    <w:p w:rsidR="001A75CD" w:rsidRPr="001A75CD" w:rsidRDefault="001A75CD" w:rsidP="001A75CD">
      <w:pPr>
        <w:spacing w:before="100" w:beforeAutospacing="1" w:after="100" w:afterAutospacing="1" w:line="240" w:lineRule="auto"/>
        <w:rPr>
          <w:rFonts w:ascii="Times New Roman" w:eastAsia="Times New Roman" w:hAnsi="Times New Roman" w:cs="Times New Roman"/>
          <w:sz w:val="24"/>
          <w:szCs w:val="24"/>
        </w:rPr>
      </w:pPr>
      <w:r w:rsidRPr="001A75CD">
        <w:rPr>
          <w:rFonts w:ascii="Times New Roman" w:eastAsia="Times New Roman" w:hAnsi="Times New Roman" w:cs="Times New Roman"/>
          <w:sz w:val="24"/>
          <w:szCs w:val="24"/>
        </w:rPr>
        <w:t>“What the CFA study obscures is that it uses surplus and premium data for the entire property and casualty industry – including many lines of business, like workers’ compensation, medical malpractice, and directors and officers coverage, where natural disasters simply aren’t an issue – to argue that rates for homeowners insurance, specifically, should be suppressed.</w:t>
      </w:r>
    </w:p>
    <w:p w:rsidR="001A75CD" w:rsidRPr="001A75CD" w:rsidRDefault="001A75CD" w:rsidP="001A75CD">
      <w:pPr>
        <w:spacing w:before="100" w:beforeAutospacing="1" w:after="100" w:afterAutospacing="1" w:line="240" w:lineRule="auto"/>
        <w:rPr>
          <w:rFonts w:ascii="Times New Roman" w:eastAsia="Times New Roman" w:hAnsi="Times New Roman" w:cs="Times New Roman"/>
          <w:sz w:val="24"/>
          <w:szCs w:val="24"/>
        </w:rPr>
      </w:pPr>
      <w:r w:rsidRPr="001A75CD">
        <w:rPr>
          <w:rFonts w:ascii="Times New Roman" w:eastAsia="Times New Roman" w:hAnsi="Times New Roman" w:cs="Times New Roman"/>
          <w:sz w:val="24"/>
          <w:szCs w:val="24"/>
        </w:rPr>
        <w:t>“The study bemoans the end of the era when P&amp;C insurers regularly ran annual underwriting losses, which the industry did from the late 1970s until 2003, and counted on investment income to make up the difference. Alas, the days of double-digit interest rates that permitted such practices is long-gone and unlikely to return in the foreseeable future. Moreover, as consumer advocates, the CFA should recognize that such practices were always inherently irresponsible, and it is a positive development that regulatory capital and rating agency rules no longer permit such irresponsibility.</w:t>
      </w:r>
    </w:p>
    <w:p w:rsidR="001A75CD" w:rsidRPr="001A75CD" w:rsidRDefault="001A75CD" w:rsidP="001A75CD">
      <w:pPr>
        <w:spacing w:before="100" w:beforeAutospacing="1" w:after="100" w:afterAutospacing="1" w:line="240" w:lineRule="auto"/>
        <w:rPr>
          <w:rFonts w:ascii="Times New Roman" w:eastAsia="Times New Roman" w:hAnsi="Times New Roman" w:cs="Times New Roman"/>
          <w:sz w:val="24"/>
          <w:szCs w:val="24"/>
        </w:rPr>
      </w:pPr>
      <w:r w:rsidRPr="001A75CD">
        <w:rPr>
          <w:rFonts w:ascii="Times New Roman" w:eastAsia="Times New Roman" w:hAnsi="Times New Roman" w:cs="Times New Roman"/>
          <w:sz w:val="24"/>
          <w:szCs w:val="24"/>
        </w:rPr>
        <w:t>“An insurer’s primary responsibility to its policyholders is to remain solvent and be able to pay any and all claims they present. Given the rampant irresponsible risk-taking we have seen by so many segments of the financial services industry in recent years, P&amp;C insurers should be commended for taking a responsible approach to parsing and pricing risk appropriately.”</w:t>
      </w:r>
    </w:p>
    <w:p w:rsidR="001A75CD" w:rsidRPr="001A75CD" w:rsidRDefault="001A75CD" w:rsidP="001A75CD">
      <w:pPr>
        <w:spacing w:before="100" w:beforeAutospacing="1" w:after="100" w:afterAutospacing="1" w:line="240" w:lineRule="auto"/>
        <w:rPr>
          <w:rFonts w:ascii="Times New Roman" w:eastAsia="Times New Roman" w:hAnsi="Times New Roman" w:cs="Times New Roman"/>
          <w:sz w:val="24"/>
          <w:szCs w:val="24"/>
        </w:rPr>
      </w:pPr>
      <w:hyperlink r:id="rId11" w:history="1">
        <w:r w:rsidRPr="001A75CD">
          <w:rPr>
            <w:rFonts w:ascii="Times New Roman" w:eastAsia="Times New Roman" w:hAnsi="Times New Roman" w:cs="Times New Roman"/>
            <w:b/>
            <w:bCs/>
            <w:color w:val="0000FF"/>
            <w:sz w:val="24"/>
            <w:szCs w:val="24"/>
            <w:u w:val="single"/>
          </w:rPr>
          <w:t>R.J. Lehmann</w:t>
        </w:r>
      </w:hyperlink>
      <w:r w:rsidRPr="001A75CD">
        <w:rPr>
          <w:rFonts w:ascii="Times New Roman" w:eastAsia="Times New Roman" w:hAnsi="Times New Roman" w:cs="Times New Roman"/>
          <w:sz w:val="24"/>
          <w:szCs w:val="24"/>
        </w:rPr>
        <w:br/>
        <w:t xml:space="preserve">Deputy Director, Center on Finance, Insurance and Real Estate </w:t>
      </w:r>
      <w:r w:rsidRPr="001A75CD">
        <w:rPr>
          <w:rFonts w:ascii="Times New Roman" w:eastAsia="Times New Roman" w:hAnsi="Times New Roman" w:cs="Times New Roman"/>
          <w:sz w:val="24"/>
          <w:szCs w:val="24"/>
        </w:rPr>
        <w:br/>
        <w:t xml:space="preserve">The Heartland Institute </w:t>
      </w:r>
      <w:r w:rsidRPr="001A75CD">
        <w:rPr>
          <w:rFonts w:ascii="Times New Roman" w:eastAsia="Times New Roman" w:hAnsi="Times New Roman" w:cs="Times New Roman"/>
          <w:sz w:val="24"/>
          <w:szCs w:val="24"/>
        </w:rPr>
        <w:br/>
      </w:r>
      <w:hyperlink r:id="rId12" w:history="1">
        <w:r w:rsidRPr="001A75CD">
          <w:rPr>
            <w:rFonts w:ascii="Times New Roman" w:eastAsia="Times New Roman" w:hAnsi="Times New Roman" w:cs="Times New Roman"/>
            <w:color w:val="0000FF"/>
            <w:sz w:val="24"/>
            <w:szCs w:val="24"/>
            <w:u w:val="single"/>
          </w:rPr>
          <w:t>rlehmann@heartland.org</w:t>
        </w:r>
      </w:hyperlink>
      <w:r w:rsidRPr="001A75CD">
        <w:rPr>
          <w:rFonts w:ascii="Times New Roman" w:eastAsia="Times New Roman" w:hAnsi="Times New Roman" w:cs="Times New Roman"/>
          <w:sz w:val="24"/>
          <w:szCs w:val="24"/>
        </w:rPr>
        <w:br/>
        <w:t>908/265-5272</w:t>
      </w:r>
    </w:p>
    <w:p w:rsidR="001A75CD" w:rsidRPr="001A75CD" w:rsidRDefault="001A75CD" w:rsidP="001A75CD">
      <w:pPr>
        <w:spacing w:after="0" w:line="240" w:lineRule="auto"/>
        <w:rPr>
          <w:rFonts w:ascii="Times New Roman" w:eastAsia="Times New Roman" w:hAnsi="Times New Roman" w:cs="Times New Roman"/>
          <w:sz w:val="24"/>
          <w:szCs w:val="24"/>
        </w:rPr>
      </w:pPr>
      <w:r w:rsidRPr="001A75CD">
        <w:rPr>
          <w:rFonts w:ascii="Times New Roman" w:eastAsia="Times New Roman" w:hAnsi="Times New Roman" w:cs="Times New Roman"/>
          <w:sz w:val="24"/>
          <w:szCs w:val="24"/>
        </w:rPr>
        <w:pict>
          <v:rect id="_x0000_i1027" style="width:0;height:1.5pt" o:hralign="center" o:hrstd="t" o:hr="t" fillcolor="#a0a0a0" stroked="f"/>
        </w:pict>
      </w:r>
    </w:p>
    <w:p w:rsidR="001A75CD" w:rsidRPr="001A75CD" w:rsidRDefault="001A75CD" w:rsidP="001A75CD">
      <w:pPr>
        <w:spacing w:before="100" w:beforeAutospacing="1" w:after="100" w:afterAutospacing="1" w:line="240" w:lineRule="auto"/>
        <w:rPr>
          <w:rFonts w:ascii="Times New Roman" w:eastAsia="Times New Roman" w:hAnsi="Times New Roman" w:cs="Times New Roman"/>
          <w:sz w:val="24"/>
          <w:szCs w:val="24"/>
        </w:rPr>
      </w:pPr>
      <w:r w:rsidRPr="001A75CD">
        <w:rPr>
          <w:rFonts w:ascii="Times New Roman" w:eastAsia="Times New Roman" w:hAnsi="Times New Roman" w:cs="Times New Roman"/>
          <w:sz w:val="24"/>
          <w:szCs w:val="24"/>
        </w:rPr>
        <w:t xml:space="preserve">The </w:t>
      </w:r>
      <w:hyperlink r:id="rId13" w:history="1">
        <w:r w:rsidRPr="001A75CD">
          <w:rPr>
            <w:rFonts w:ascii="Times New Roman" w:eastAsia="Times New Roman" w:hAnsi="Times New Roman" w:cs="Times New Roman"/>
            <w:color w:val="0000FF"/>
            <w:sz w:val="24"/>
            <w:szCs w:val="24"/>
            <w:u w:val="single"/>
          </w:rPr>
          <w:t>Heartland Institute</w:t>
        </w:r>
      </w:hyperlink>
      <w:r w:rsidRPr="001A75CD">
        <w:rPr>
          <w:rFonts w:ascii="Times New Roman" w:eastAsia="Times New Roman" w:hAnsi="Times New Roman" w:cs="Times New Roman"/>
          <w:sz w:val="24"/>
          <w:szCs w:val="24"/>
        </w:rPr>
        <w:t xml:space="preserve"> is a 28-year-old national nonprofit organization with offices in Chicago, Illinois and Washington, DC. Its mission is to discover, develop, and promote free-market solutions to social and economic problems. For more information, visit our </w:t>
      </w:r>
      <w:hyperlink r:id="rId14" w:history="1">
        <w:r w:rsidRPr="001A75CD">
          <w:rPr>
            <w:rFonts w:ascii="Times New Roman" w:eastAsia="Times New Roman" w:hAnsi="Times New Roman" w:cs="Times New Roman"/>
            <w:color w:val="0000FF"/>
            <w:sz w:val="24"/>
            <w:szCs w:val="24"/>
            <w:u w:val="single"/>
          </w:rPr>
          <w:t>Web site</w:t>
        </w:r>
      </w:hyperlink>
      <w:r w:rsidRPr="001A75CD">
        <w:rPr>
          <w:rFonts w:ascii="Times New Roman" w:eastAsia="Times New Roman" w:hAnsi="Times New Roman" w:cs="Times New Roman"/>
          <w:sz w:val="24"/>
          <w:szCs w:val="24"/>
        </w:rPr>
        <w:t xml:space="preserve"> or call 312/377-4000.</w:t>
      </w:r>
    </w:p>
    <w:p w:rsidR="00571F3F" w:rsidRDefault="001A75CD"/>
    <w:sectPr w:rsidR="00571F3F" w:rsidSect="008F1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75CD"/>
    <w:rsid w:val="001A75CD"/>
    <w:rsid w:val="00590220"/>
    <w:rsid w:val="008F1ECB"/>
    <w:rsid w:val="00D23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CB"/>
  </w:style>
  <w:style w:type="paragraph" w:styleId="Heading1">
    <w:name w:val="heading 1"/>
    <w:basedOn w:val="Normal"/>
    <w:link w:val="Heading1Char"/>
    <w:uiPriority w:val="9"/>
    <w:qFormat/>
    <w:rsid w:val="001A75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5CD"/>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1A75CD"/>
  </w:style>
  <w:style w:type="character" w:styleId="Hyperlink">
    <w:name w:val="Hyperlink"/>
    <w:basedOn w:val="DefaultParagraphFont"/>
    <w:uiPriority w:val="99"/>
    <w:semiHidden/>
    <w:unhideWhenUsed/>
    <w:rsid w:val="001A75CD"/>
    <w:rPr>
      <w:color w:val="0000FF"/>
      <w:u w:val="single"/>
    </w:rPr>
  </w:style>
  <w:style w:type="paragraph" w:styleId="NormalWeb">
    <w:name w:val="Normal (Web)"/>
    <w:basedOn w:val="Normal"/>
    <w:uiPriority w:val="99"/>
    <w:semiHidden/>
    <w:unhideWhenUsed/>
    <w:rsid w:val="001A75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5CD"/>
    <w:rPr>
      <w:b/>
      <w:bCs/>
    </w:rPr>
  </w:style>
</w:styles>
</file>

<file path=word/webSettings.xml><?xml version="1.0" encoding="utf-8"?>
<w:webSettings xmlns:r="http://schemas.openxmlformats.org/officeDocument/2006/relationships" xmlns:w="http://schemas.openxmlformats.org/wordprocessingml/2006/main">
  <w:divs>
    <w:div w:id="842664790">
      <w:bodyDiv w:val="1"/>
      <w:marLeft w:val="0"/>
      <w:marRight w:val="0"/>
      <w:marTop w:val="0"/>
      <w:marBottom w:val="0"/>
      <w:divBdr>
        <w:top w:val="none" w:sz="0" w:space="0" w:color="auto"/>
        <w:left w:val="none" w:sz="0" w:space="0" w:color="auto"/>
        <w:bottom w:val="none" w:sz="0" w:space="0" w:color="auto"/>
        <w:right w:val="none" w:sz="0" w:space="0" w:color="auto"/>
      </w:divBdr>
      <w:divsChild>
        <w:div w:id="510798750">
          <w:marLeft w:val="0"/>
          <w:marRight w:val="0"/>
          <w:marTop w:val="0"/>
          <w:marBottom w:val="0"/>
          <w:divBdr>
            <w:top w:val="none" w:sz="0" w:space="0" w:color="auto"/>
            <w:left w:val="none" w:sz="0" w:space="0" w:color="auto"/>
            <w:bottom w:val="none" w:sz="0" w:space="0" w:color="auto"/>
            <w:right w:val="none" w:sz="0" w:space="0" w:color="auto"/>
          </w:divBdr>
        </w:div>
        <w:div w:id="455946765">
          <w:marLeft w:val="0"/>
          <w:marRight w:val="0"/>
          <w:marTop w:val="0"/>
          <w:marBottom w:val="0"/>
          <w:divBdr>
            <w:top w:val="none" w:sz="0" w:space="0" w:color="auto"/>
            <w:left w:val="none" w:sz="0" w:space="0" w:color="auto"/>
            <w:bottom w:val="none" w:sz="0" w:space="0" w:color="auto"/>
            <w:right w:val="none" w:sz="0" w:space="0" w:color="auto"/>
          </w:divBdr>
          <w:divsChild>
            <w:div w:id="1840005302">
              <w:marLeft w:val="0"/>
              <w:marRight w:val="0"/>
              <w:marTop w:val="0"/>
              <w:marBottom w:val="0"/>
              <w:divBdr>
                <w:top w:val="none" w:sz="0" w:space="0" w:color="auto"/>
                <w:left w:val="none" w:sz="0" w:space="0" w:color="auto"/>
                <w:bottom w:val="none" w:sz="0" w:space="0" w:color="auto"/>
                <w:right w:val="none" w:sz="0" w:space="0" w:color="auto"/>
              </w:divBdr>
              <w:divsChild>
                <w:div w:id="533348319">
                  <w:marLeft w:val="0"/>
                  <w:marRight w:val="0"/>
                  <w:marTop w:val="0"/>
                  <w:marBottom w:val="0"/>
                  <w:divBdr>
                    <w:top w:val="none" w:sz="0" w:space="0" w:color="auto"/>
                    <w:left w:val="none" w:sz="0" w:space="0" w:color="auto"/>
                    <w:bottom w:val="none" w:sz="0" w:space="0" w:color="auto"/>
                    <w:right w:val="none" w:sz="0" w:space="0" w:color="auto"/>
                  </w:divBdr>
                  <w:divsChild>
                    <w:div w:id="624820358">
                      <w:marLeft w:val="0"/>
                      <w:marRight w:val="0"/>
                      <w:marTop w:val="0"/>
                      <w:marBottom w:val="0"/>
                      <w:divBdr>
                        <w:top w:val="none" w:sz="0" w:space="0" w:color="auto"/>
                        <w:left w:val="none" w:sz="0" w:space="0" w:color="auto"/>
                        <w:bottom w:val="none" w:sz="0" w:space="0" w:color="auto"/>
                        <w:right w:val="none" w:sz="0" w:space="0" w:color="auto"/>
                      </w:divBdr>
                      <w:divsChild>
                        <w:div w:id="1627003830">
                          <w:marLeft w:val="0"/>
                          <w:marRight w:val="0"/>
                          <w:marTop w:val="0"/>
                          <w:marBottom w:val="0"/>
                          <w:divBdr>
                            <w:top w:val="none" w:sz="0" w:space="0" w:color="auto"/>
                            <w:left w:val="none" w:sz="0" w:space="0" w:color="auto"/>
                            <w:bottom w:val="none" w:sz="0" w:space="0" w:color="auto"/>
                            <w:right w:val="none" w:sz="0" w:space="0" w:color="auto"/>
                          </w:divBdr>
                          <w:divsChild>
                            <w:div w:id="399334042">
                              <w:marLeft w:val="0"/>
                              <w:marRight w:val="0"/>
                              <w:marTop w:val="0"/>
                              <w:marBottom w:val="0"/>
                              <w:divBdr>
                                <w:top w:val="none" w:sz="0" w:space="0" w:color="auto"/>
                                <w:left w:val="none" w:sz="0" w:space="0" w:color="auto"/>
                                <w:bottom w:val="none" w:sz="0" w:space="0" w:color="auto"/>
                                <w:right w:val="none" w:sz="0" w:space="0" w:color="auto"/>
                              </w:divBdr>
                              <w:divsChild>
                                <w:div w:id="1432432350">
                                  <w:marLeft w:val="0"/>
                                  <w:marRight w:val="0"/>
                                  <w:marTop w:val="0"/>
                                  <w:marBottom w:val="0"/>
                                  <w:divBdr>
                                    <w:top w:val="none" w:sz="0" w:space="0" w:color="auto"/>
                                    <w:left w:val="none" w:sz="0" w:space="0" w:color="auto"/>
                                    <w:bottom w:val="none" w:sz="0" w:space="0" w:color="auto"/>
                                    <w:right w:val="none" w:sz="0" w:space="0" w:color="auto"/>
                                  </w:divBdr>
                                  <w:divsChild>
                                    <w:div w:id="15069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5291">
                              <w:marLeft w:val="0"/>
                              <w:marRight w:val="0"/>
                              <w:marTop w:val="0"/>
                              <w:marBottom w:val="0"/>
                              <w:divBdr>
                                <w:top w:val="none" w:sz="0" w:space="0" w:color="auto"/>
                                <w:left w:val="none" w:sz="0" w:space="0" w:color="auto"/>
                                <w:bottom w:val="none" w:sz="0" w:space="0" w:color="auto"/>
                                <w:right w:val="none" w:sz="0" w:space="0" w:color="auto"/>
                              </w:divBdr>
                              <w:divsChild>
                                <w:div w:id="1132211858">
                                  <w:marLeft w:val="0"/>
                                  <w:marRight w:val="0"/>
                                  <w:marTop w:val="0"/>
                                  <w:marBottom w:val="0"/>
                                  <w:divBdr>
                                    <w:top w:val="none" w:sz="0" w:space="0" w:color="auto"/>
                                    <w:left w:val="none" w:sz="0" w:space="0" w:color="auto"/>
                                    <w:bottom w:val="none" w:sz="0" w:space="0" w:color="auto"/>
                                    <w:right w:val="none" w:sz="0" w:space="0" w:color="auto"/>
                                  </w:divBdr>
                                  <w:divsChild>
                                    <w:div w:id="1816674758">
                                      <w:marLeft w:val="0"/>
                                      <w:marRight w:val="0"/>
                                      <w:marTop w:val="0"/>
                                      <w:marBottom w:val="0"/>
                                      <w:divBdr>
                                        <w:top w:val="none" w:sz="0" w:space="0" w:color="auto"/>
                                        <w:left w:val="none" w:sz="0" w:space="0" w:color="auto"/>
                                        <w:bottom w:val="none" w:sz="0" w:space="0" w:color="auto"/>
                                        <w:right w:val="none" w:sz="0" w:space="0" w:color="auto"/>
                                      </w:divBdr>
                                    </w:div>
                                    <w:div w:id="15146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kely@heartland.org" TargetMode="External"/><Relationship Id="rId13" Type="http://schemas.openxmlformats.org/officeDocument/2006/relationships/hyperlink" Target="http://www.heartland.org" TargetMode="External"/><Relationship Id="rId3" Type="http://schemas.openxmlformats.org/officeDocument/2006/relationships/webSettings" Target="webSettings.xml"/><Relationship Id="rId7" Type="http://schemas.openxmlformats.org/officeDocument/2006/relationships/hyperlink" Target="mailto:tnash@heartland.org" TargetMode="External"/><Relationship Id="rId12" Type="http://schemas.openxmlformats.org/officeDocument/2006/relationships/hyperlink" Target="mailto:rlehmann@heartland.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merfed.org/pdfs/InsuranceRegulationHurricaneRiskDisappearingCoverageStudy2-12.pdf" TargetMode="External"/><Relationship Id="rId11" Type="http://schemas.openxmlformats.org/officeDocument/2006/relationships/hyperlink" Target="http://heartland.org/rj-lehmann" TargetMode="External"/><Relationship Id="rId5" Type="http://schemas.openxmlformats.org/officeDocument/2006/relationships/hyperlink" Target="http://heartland.org/rj-lehmann" TargetMode="External"/><Relationship Id="rId15" Type="http://schemas.openxmlformats.org/officeDocument/2006/relationships/fontTable" Target="fontTable.xml"/><Relationship Id="rId10" Type="http://schemas.openxmlformats.org/officeDocument/2006/relationships/hyperlink" Target="mailto:elehrer@heartland.org" TargetMode="External"/><Relationship Id="rId4" Type="http://schemas.openxmlformats.org/officeDocument/2006/relationships/hyperlink" Target="http://heartland.org/eli-lehrer" TargetMode="External"/><Relationship Id="rId9" Type="http://schemas.openxmlformats.org/officeDocument/2006/relationships/hyperlink" Target="http://heartland.org/eli-lehrer" TargetMode="External"/><Relationship Id="rId14" Type="http://schemas.openxmlformats.org/officeDocument/2006/relationships/hyperlink" Target="http://www.hear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2012-02-23T19:24:00Z</dcterms:created>
  <dcterms:modified xsi:type="dcterms:W3CDTF">2012-02-23T19:25:00Z</dcterms:modified>
</cp:coreProperties>
</file>